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51" w:rsidRPr="00A94D17" w:rsidRDefault="00633D51" w:rsidP="00815B47">
      <w:pPr>
        <w:tabs>
          <w:tab w:val="center" w:pos="5233"/>
          <w:tab w:val="left" w:pos="90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Прайс-лист на биопрепараты 2021</w:t>
      </w:r>
      <w:r w:rsidRPr="00A94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БТУ-Центр Органик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Лайн</w:t>
      </w:r>
      <w:proofErr w:type="spellEnd"/>
    </w:p>
    <w:p w:rsidR="00633D51" w:rsidRDefault="00633D51" w:rsidP="00633D51">
      <w:pPr>
        <w:tabs>
          <w:tab w:val="center" w:pos="5233"/>
          <w:tab w:val="left" w:pos="9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94D17">
        <w:rPr>
          <w:rFonts w:ascii="Times New Roman" w:eastAsia="Times New Roman" w:hAnsi="Times New Roman" w:cs="Times New Roman"/>
          <w:sz w:val="18"/>
          <w:szCs w:val="18"/>
          <w:lang w:eastAsia="ru-RU"/>
        </w:rPr>
        <w:t>(цены действительны до публикации новой версии)</w:t>
      </w:r>
    </w:p>
    <w:p w:rsidR="00633D51" w:rsidRDefault="00633D51" w:rsidP="00633D51">
      <w:pPr>
        <w:tabs>
          <w:tab w:val="center" w:pos="5233"/>
          <w:tab w:val="left" w:pos="9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10773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425"/>
        <w:gridCol w:w="2410"/>
        <w:gridCol w:w="1842"/>
        <w:gridCol w:w="861"/>
        <w:gridCol w:w="1134"/>
        <w:gridCol w:w="1417"/>
      </w:tblGrid>
      <w:tr w:rsidR="00633D51" w:rsidRPr="00F121A4" w:rsidTr="00DC66D5">
        <w:trPr>
          <w:trHeight w:val="496"/>
          <w:jc w:val="right"/>
        </w:trPr>
        <w:tc>
          <w:tcPr>
            <w:tcW w:w="416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2268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л/ кг</w:t>
            </w:r>
          </w:p>
        </w:tc>
        <w:tc>
          <w:tcPr>
            <w:tcW w:w="2410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Культура, обрабатываемый объект</w:t>
            </w:r>
          </w:p>
        </w:tc>
        <w:tc>
          <w:tcPr>
            <w:tcW w:w="1842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Применение </w:t>
            </w:r>
          </w:p>
        </w:tc>
        <w:tc>
          <w:tcPr>
            <w:tcW w:w="861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Цена руб./л (кг)</w:t>
            </w:r>
          </w:p>
        </w:tc>
        <w:tc>
          <w:tcPr>
            <w:tcW w:w="1134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Норма расхода л, кг/га (т, кг)</w:t>
            </w:r>
          </w:p>
        </w:tc>
        <w:tc>
          <w:tcPr>
            <w:tcW w:w="1417" w:type="dxa"/>
            <w:vAlign w:val="center"/>
          </w:tcPr>
          <w:p w:rsidR="00633D51" w:rsidRPr="00F121A4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F121A4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Стоимость обработки, руб./га</w:t>
            </w:r>
          </w:p>
        </w:tc>
      </w:tr>
      <w:tr w:rsidR="00633D51" w:rsidRPr="00DD0BFA" w:rsidTr="001E61EC">
        <w:trPr>
          <w:trHeight w:val="304"/>
          <w:jc w:val="right"/>
        </w:trPr>
        <w:tc>
          <w:tcPr>
            <w:tcW w:w="10773" w:type="dxa"/>
            <w:gridSpan w:val="8"/>
            <w:vAlign w:val="center"/>
          </w:tcPr>
          <w:p w:rsidR="00633D51" w:rsidRPr="00CD781B" w:rsidRDefault="00CD781B" w:rsidP="00DC66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Микоризный препарат</w:t>
            </w:r>
            <w:r w:rsidR="00633D51" w:rsidRPr="00CD781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</w:tr>
      <w:tr w:rsidR="00633D51" w:rsidRPr="00DD0BFA" w:rsidTr="00DC66D5">
        <w:trPr>
          <w:trHeight w:val="496"/>
          <w:jc w:val="right"/>
        </w:trPr>
        <w:tc>
          <w:tcPr>
            <w:tcW w:w="416" w:type="dxa"/>
            <w:vAlign w:val="center"/>
          </w:tcPr>
          <w:p w:rsidR="00633D51" w:rsidRPr="00021823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021823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68" w:type="dxa"/>
          </w:tcPr>
          <w:p w:rsidR="00633D51" w:rsidRPr="00DD0BFA" w:rsidRDefault="00633D51" w:rsidP="00DC66D5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633D5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МИКОФРЕНД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Комплексный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микоризообразующий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препарат для обеспечения растений питанием и влагой в экстремальных условиях.</w:t>
            </w:r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Фунгицидная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защита</w:t>
            </w:r>
          </w:p>
        </w:tc>
        <w:tc>
          <w:tcPr>
            <w:tcW w:w="425" w:type="dxa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</w:t>
            </w:r>
          </w:p>
        </w:tc>
        <w:tc>
          <w:tcPr>
            <w:tcW w:w="2410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Все культуры</w:t>
            </w:r>
          </w:p>
        </w:tc>
        <w:tc>
          <w:tcPr>
            <w:tcW w:w="184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Обработка семян</w:t>
            </w:r>
          </w:p>
        </w:tc>
        <w:tc>
          <w:tcPr>
            <w:tcW w:w="861" w:type="dxa"/>
            <w:vAlign w:val="center"/>
          </w:tcPr>
          <w:p w:rsidR="00633D51" w:rsidRPr="004B3795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B379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2551" w:type="dxa"/>
            <w:gridSpan w:val="2"/>
          </w:tcPr>
          <w:p w:rsidR="00633D51" w:rsidRPr="00DD0BFA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Норма на зерновые колосовые: МИКОФРЕНД 1-1,5 л/т + ЛИПОСАМ 0,3-0,5 л/т</w:t>
            </w:r>
          </w:p>
          <w:p w:rsidR="00633D51" w:rsidRPr="00DD0BFA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Норма на кукурузу: МИКОФРЕНД 2-4 л/т + ЛИПОСАМ 0,5 л/т </w:t>
            </w:r>
          </w:p>
          <w:p w:rsidR="00633D51" w:rsidRPr="00DD0BFA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Норма на сою с </w:t>
            </w:r>
            <w:proofErr w:type="spellStart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инокулянтом</w:t>
            </w:r>
            <w:proofErr w:type="spellEnd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proofErr w:type="gramStart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РиЗОЛАЙН</w:t>
            </w:r>
            <w:proofErr w:type="spellEnd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2</w:t>
            </w:r>
            <w:proofErr w:type="gramEnd"/>
            <w:r w:rsidRPr="00DD0BFA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л/т + МИКОФРЕНД 1-1,5 л/т</w:t>
            </w:r>
          </w:p>
        </w:tc>
      </w:tr>
      <w:tr w:rsidR="00633D51" w:rsidRPr="00DD0BFA" w:rsidTr="00DC66D5">
        <w:trPr>
          <w:trHeight w:val="496"/>
          <w:jc w:val="right"/>
        </w:trPr>
        <w:tc>
          <w:tcPr>
            <w:tcW w:w="10773" w:type="dxa"/>
            <w:gridSpan w:val="8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БИОКОМПЛЕКС-БТУ – комплексные </w:t>
            </w:r>
            <w:proofErr w:type="spellStart"/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микробиологич</w:t>
            </w:r>
            <w:proofErr w:type="spellEnd"/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препараты для подкормки, стимуляции и защиты от болезней.</w:t>
            </w:r>
          </w:p>
          <w:p w:rsidR="00633D51" w:rsidRPr="00DD0BFA" w:rsidRDefault="00633D51" w:rsidP="00DC66D5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Состав: природные азотфиксирующие бактерии,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фунгицидные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бактерии широкого спектра действия, фосфор – и калий-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мобилизирующие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почвенные бактерии, другие полезные бактерии (молочнокислые, симбиотические) и их активные метаболиты: фитогормоны, витамины, аминокислоты, макро-и микроэлементы. 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8E66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Общий титр от 2х10</w:t>
            </w:r>
            <w:r w:rsidRPr="008E6697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 xml:space="preserve">9 </w:t>
            </w:r>
            <w:r w:rsidRPr="008E66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до 5х10</w:t>
            </w:r>
            <w:r w:rsidRPr="008E6697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 xml:space="preserve">9 </w:t>
            </w:r>
            <w:r w:rsidRPr="008E669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КОЕ/см</w:t>
            </w:r>
            <w:r w:rsidRPr="008E6697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  <w:r w:rsidRPr="00633D5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</w:tr>
      <w:tr w:rsidR="00633D51" w:rsidRPr="00DD0BFA" w:rsidTr="00DC66D5">
        <w:trPr>
          <w:trHeight w:val="467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33D51">
              <w:rPr>
                <w:rFonts w:ascii="Arial" w:hAnsi="Arial" w:cs="Arial"/>
                <w:b/>
                <w:bCs/>
                <w:sz w:val="16"/>
                <w:szCs w:val="16"/>
              </w:rPr>
              <w:t>для зерновых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Зерновые культуры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 зависимости от культуры и нормы высева</w:t>
            </w:r>
          </w:p>
        </w:tc>
      </w:tr>
      <w:tr w:rsidR="00633D51" w:rsidRPr="00DD0BFA" w:rsidTr="00DC66D5">
        <w:trPr>
          <w:trHeight w:val="18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гречиха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1,5-2,0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109-155</w:t>
            </w:r>
          </w:p>
        </w:tc>
      </w:tr>
      <w:tr w:rsidR="00633D51" w:rsidRPr="00DD0BFA" w:rsidTr="00DC66D5">
        <w:trPr>
          <w:trHeight w:val="10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кукуруза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15-29</w:t>
            </w:r>
          </w:p>
        </w:tc>
      </w:tr>
      <w:tr w:rsidR="00633D51" w:rsidRPr="00DD0BFA" w:rsidTr="00DC66D5">
        <w:trPr>
          <w:trHeight w:val="26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Зерновые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861" w:type="dxa"/>
            <w:vMerge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0,3-0,8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235,5-628</w:t>
            </w:r>
          </w:p>
        </w:tc>
      </w:tr>
      <w:tr w:rsidR="00633D51" w:rsidRPr="00DD0BFA" w:rsidTr="00DC66D5">
        <w:trPr>
          <w:trHeight w:val="51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33D51">
              <w:rPr>
                <w:rFonts w:ascii="Arial" w:hAnsi="Arial" w:cs="Arial"/>
                <w:b/>
                <w:bCs/>
                <w:sz w:val="16"/>
                <w:szCs w:val="16"/>
              </w:rPr>
              <w:t>для технических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Подсолнечник, рапс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3,0-6,0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20-44</w:t>
            </w:r>
          </w:p>
        </w:tc>
      </w:tr>
      <w:tr w:rsidR="00633D51" w:rsidRPr="00DD0BFA" w:rsidTr="00DC66D5">
        <w:trPr>
          <w:trHeight w:val="28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Горчица, конопля и др.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3,0-4,0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36-48</w:t>
            </w:r>
          </w:p>
        </w:tc>
      </w:tr>
      <w:tr w:rsidR="00633D51" w:rsidRPr="00DD0BFA" w:rsidTr="00DC66D5">
        <w:trPr>
          <w:trHeight w:val="20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Сахарная свекла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3,0-6,0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10-20</w:t>
            </w:r>
          </w:p>
        </w:tc>
      </w:tr>
      <w:tr w:rsidR="00633D51" w:rsidRPr="00DD0BFA" w:rsidTr="00DC66D5">
        <w:trPr>
          <w:trHeight w:val="19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Технические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861" w:type="dxa"/>
            <w:vMerge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0,3-0,7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235,5-549,5</w:t>
            </w:r>
          </w:p>
        </w:tc>
      </w:tr>
      <w:tr w:rsidR="00633D51" w:rsidRPr="00DD0BFA" w:rsidTr="00DC66D5">
        <w:trPr>
          <w:trHeight w:val="454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33D51">
              <w:rPr>
                <w:rFonts w:ascii="Arial" w:hAnsi="Arial" w:cs="Arial"/>
                <w:b/>
                <w:bCs/>
                <w:sz w:val="16"/>
                <w:szCs w:val="16"/>
              </w:rPr>
              <w:t>для бобовых культур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Бобовые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861" w:type="dxa"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0,25-0,5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196,25-392,5</w:t>
            </w:r>
          </w:p>
        </w:tc>
      </w:tr>
      <w:tr w:rsidR="00633D51" w:rsidRPr="00DD0BFA" w:rsidTr="00DC66D5">
        <w:trPr>
          <w:trHeight w:val="47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33D51">
              <w:rPr>
                <w:rFonts w:ascii="Arial" w:hAnsi="Arial" w:cs="Arial"/>
                <w:b/>
                <w:bCs/>
                <w:sz w:val="16"/>
                <w:szCs w:val="16"/>
              </w:rPr>
              <w:t>Универсальный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Все культуры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Обработки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0,15-6,1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В зависимости от культуры и нормы высева</w:t>
            </w:r>
          </w:p>
        </w:tc>
      </w:tr>
      <w:tr w:rsidR="00633D51" w:rsidRPr="00DD0BFA" w:rsidTr="00DC66D5">
        <w:trPr>
          <w:trHeight w:val="343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861" w:type="dxa"/>
            <w:vMerge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0,3-0,8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235,5-628</w:t>
            </w:r>
          </w:p>
        </w:tc>
      </w:tr>
      <w:tr w:rsidR="00633D51" w:rsidRPr="00DD0BFA" w:rsidTr="00DC66D5">
        <w:trPr>
          <w:trHeight w:val="225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33D51">
              <w:rPr>
                <w:rFonts w:ascii="Arial" w:hAnsi="Arial" w:cs="Arial"/>
                <w:b/>
                <w:bCs/>
                <w:sz w:val="16"/>
                <w:szCs w:val="16"/>
              </w:rPr>
              <w:t>для плодовых деревьев и ягодных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Плодовые деревья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Замачивание корневой системы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л/1000 ед.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руб./1000 ед.</w:t>
            </w:r>
          </w:p>
        </w:tc>
      </w:tr>
      <w:tr w:rsidR="00633D51" w:rsidRPr="00DD0BFA" w:rsidTr="008E6697">
        <w:trPr>
          <w:trHeight w:val="241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1,0-1,5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785-1177,5</w:t>
            </w:r>
          </w:p>
        </w:tc>
      </w:tr>
      <w:tr w:rsidR="00633D51" w:rsidRPr="00DD0BFA" w:rsidTr="00DC66D5">
        <w:trPr>
          <w:trHeight w:val="27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Ягодные кусты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0,7-1,0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549,5-785</w:t>
            </w:r>
          </w:p>
        </w:tc>
      </w:tr>
      <w:tr w:rsidR="00633D51" w:rsidRPr="00DD0BFA" w:rsidTr="00DC66D5">
        <w:trPr>
          <w:trHeight w:val="26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Виноград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0,7-1,0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549,5-785</w:t>
            </w:r>
          </w:p>
        </w:tc>
      </w:tr>
      <w:tr w:rsidR="00633D51" w:rsidRPr="00DD0BFA" w:rsidTr="00DC66D5">
        <w:trPr>
          <w:trHeight w:val="26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Землянка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0,25-0,5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196,25-392,5</w:t>
            </w:r>
          </w:p>
        </w:tc>
      </w:tr>
      <w:tr w:rsidR="00633D51" w:rsidRPr="00DD0BFA" w:rsidTr="00DC66D5">
        <w:trPr>
          <w:trHeight w:val="26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Плодовые деревья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Подкормка по вегетации</w:t>
            </w: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785-1570</w:t>
            </w:r>
          </w:p>
        </w:tc>
      </w:tr>
      <w:tr w:rsidR="00633D51" w:rsidRPr="00DD0BFA" w:rsidTr="00DC66D5">
        <w:trPr>
          <w:trHeight w:val="25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Ягодные кусты, виноград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0,5-1,5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392,5-1177,5</w:t>
            </w:r>
          </w:p>
        </w:tc>
      </w:tr>
      <w:tr w:rsidR="00633D51" w:rsidRPr="00DD0BFA" w:rsidTr="008E6697">
        <w:trPr>
          <w:trHeight w:val="20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Земляника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EF3666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0,5-0,8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392,5-628</w:t>
            </w:r>
          </w:p>
        </w:tc>
      </w:tr>
      <w:tr w:rsidR="00633D51" w:rsidRPr="00DD0BFA" w:rsidTr="00DC66D5">
        <w:trPr>
          <w:trHeight w:val="47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D0BF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633D51">
              <w:rPr>
                <w:rFonts w:ascii="Arial" w:hAnsi="Arial" w:cs="Arial"/>
                <w:b/>
                <w:bCs/>
                <w:sz w:val="16"/>
                <w:szCs w:val="16"/>
              </w:rPr>
              <w:t>для овощных культур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Огурцы, томаты, капуста, перец, баклажаны, кабачки, тыква, арбузы, дыни и др.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5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л/кг</w:t>
            </w:r>
          </w:p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0,02-0,05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3,40-8,50</w:t>
            </w:r>
          </w:p>
        </w:tc>
      </w:tr>
      <w:tr w:rsidR="00633D51" w:rsidRPr="00DD0BFA" w:rsidTr="00DC66D5">
        <w:trPr>
          <w:trHeight w:val="26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Лук, чеснок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1,0-2,0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170-340</w:t>
            </w:r>
          </w:p>
        </w:tc>
      </w:tr>
      <w:tr w:rsidR="00633D51" w:rsidRPr="00DD0BFA" w:rsidTr="00DC66D5">
        <w:trPr>
          <w:trHeight w:val="25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картофель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0,2-0,5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34-85</w:t>
            </w:r>
          </w:p>
        </w:tc>
      </w:tr>
      <w:tr w:rsidR="00633D51" w:rsidRPr="00DD0BFA" w:rsidTr="00DC66D5">
        <w:trPr>
          <w:trHeight w:val="30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8E669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Томаты, баклажаны, перец, огурцы, кабачки, </w:t>
            </w:r>
            <w:proofErr w:type="spellStart"/>
            <w:proofErr w:type="gramStart"/>
            <w:r w:rsidR="008E6697">
              <w:rPr>
                <w:rFonts w:ascii="Arial" w:hAnsi="Arial" w:cs="Arial"/>
                <w:b/>
                <w:bCs/>
                <w:sz w:val="14"/>
                <w:szCs w:val="14"/>
              </w:rPr>
              <w:t>дыни,арбузы</w:t>
            </w:r>
            <w:proofErr w:type="spellEnd"/>
            <w:proofErr w:type="gramEnd"/>
            <w:r w:rsid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, </w:t>
            </w:r>
            <w:proofErr w:type="spellStart"/>
            <w:r w:rsidR="008E6697">
              <w:rPr>
                <w:rFonts w:ascii="Arial" w:hAnsi="Arial" w:cs="Arial"/>
                <w:b/>
                <w:bCs/>
                <w:sz w:val="14"/>
                <w:szCs w:val="14"/>
              </w:rPr>
              <w:t>капуста,лук,</w:t>
            </w: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чеснок</w:t>
            </w:r>
            <w:proofErr w:type="spellEnd"/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, картофель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Обработка по вегетации</w:t>
            </w:r>
          </w:p>
        </w:tc>
        <w:tc>
          <w:tcPr>
            <w:tcW w:w="861" w:type="dxa"/>
            <w:vMerge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0,5-2,0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392,5-1570</w:t>
            </w:r>
          </w:p>
        </w:tc>
      </w:tr>
      <w:tr w:rsidR="00633D51" w:rsidRPr="00DD0BFA" w:rsidTr="00DC66D5">
        <w:trPr>
          <w:trHeight w:val="496"/>
          <w:jc w:val="right"/>
        </w:trPr>
        <w:tc>
          <w:tcPr>
            <w:tcW w:w="10773" w:type="dxa"/>
            <w:gridSpan w:val="8"/>
            <w:vAlign w:val="center"/>
          </w:tcPr>
          <w:p w:rsidR="00633D51" w:rsidRPr="008E6697" w:rsidRDefault="00633D51" w:rsidP="001E61E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БИОКОМПЛЕКС-БТУ </w:t>
            </w:r>
            <w:proofErr w:type="spellStart"/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биоактиватор</w:t>
            </w:r>
            <w:proofErr w:type="spellEnd"/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БиоАзот</w:t>
            </w:r>
            <w:proofErr w:type="spellEnd"/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для стимуляции роста и подкормки растений: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Биоактиватор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имеет ростостимулирующие и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фунгицидные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свойства, которые основываются на способности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Azotobacter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chroococcum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активно фиксировать молекулярный азот из атмосферы, превращать его в доступную для растений форму; синтезировать ростостимулирующие вещества (никотиновую кислоту, пантотеновую кислоту, пиридоксин, биотин, гетероауксин и др.); выделять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фунгицидные</w:t>
            </w:r>
            <w:proofErr w:type="spellEnd"/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вещества, которые подавляют рост фитопатогенной микрофлоры; продуцировать метаболиты, способные растворять труднорастворимые фосфаты грунта.</w:t>
            </w:r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</w:t>
            </w:r>
            <w:r w:rsidR="001E61EC"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8E669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Входит в состав технологии Стресс-Стоп 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</w:tr>
      <w:tr w:rsidR="00633D51" w:rsidRPr="00DD0BFA" w:rsidTr="00DC66D5">
        <w:trPr>
          <w:trHeight w:val="467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1E61EC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БИОАЗОТ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 культуры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Обработка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0,1-1,5 л/</w:t>
            </w:r>
            <w:proofErr w:type="spellStart"/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тн</w:t>
            </w:r>
            <w:proofErr w:type="spellEnd"/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633D51" w:rsidRPr="00DD0BFA" w:rsidTr="00DC66D5">
        <w:trPr>
          <w:trHeight w:val="467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Корневые и внекорневые подкормки</w:t>
            </w:r>
          </w:p>
        </w:tc>
        <w:tc>
          <w:tcPr>
            <w:tcW w:w="861" w:type="dxa"/>
            <w:vMerge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0,1-1,0 л/</w:t>
            </w:r>
            <w:proofErr w:type="spellStart"/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тн</w:t>
            </w:r>
            <w:proofErr w:type="spellEnd"/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58-580</w:t>
            </w:r>
          </w:p>
        </w:tc>
      </w:tr>
      <w:tr w:rsidR="00633D51" w:rsidRPr="00DD0BFA" w:rsidTr="00DC66D5">
        <w:trPr>
          <w:trHeight w:val="647"/>
          <w:jc w:val="right"/>
        </w:trPr>
        <w:tc>
          <w:tcPr>
            <w:tcW w:w="10773" w:type="dxa"/>
            <w:gridSpan w:val="8"/>
            <w:shd w:val="clear" w:color="auto" w:fill="auto"/>
            <w:vAlign w:val="center"/>
          </w:tcPr>
          <w:p w:rsidR="00633D51" w:rsidRPr="00C116DA" w:rsidRDefault="00633D51" w:rsidP="00DC66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6D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lastRenderedPageBreak/>
              <w:t xml:space="preserve">РИЗОЛАЙН – </w:t>
            </w:r>
            <w:proofErr w:type="spellStart"/>
            <w:r w:rsidRPr="00C116D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Биоинокулянты</w:t>
            </w:r>
            <w:proofErr w:type="spellEnd"/>
            <w:r w:rsidRPr="00C116D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-БТУ </w:t>
            </w:r>
            <w:r w:rsidRPr="00C11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инокуляции семян зернобобовых культур клубеньковыми симбиотическими бактериями.</w:t>
            </w:r>
          </w:p>
          <w:p w:rsidR="00633D51" w:rsidRPr="00DD0BFA" w:rsidRDefault="00633D51" w:rsidP="00DC66D5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1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Общий титр </w:t>
            </w:r>
            <w:r w:rsidRPr="00C116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Bradyrhizobium</w:t>
            </w:r>
            <w:r w:rsidRPr="00C11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116D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japonikum</w:t>
            </w:r>
            <w:proofErr w:type="spellEnd"/>
            <w:r w:rsidRPr="00C11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или других (соответственно культуре) </w:t>
            </w:r>
            <w:r w:rsidRPr="00C116D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–</w:t>
            </w:r>
            <w:r w:rsidRPr="00C116D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116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от 2х10</w:t>
            </w:r>
            <w:r w:rsidRPr="00C116DA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9</w:t>
            </w:r>
            <w:r w:rsidRPr="00C116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до 5х10</w:t>
            </w:r>
            <w:r w:rsidRPr="00C116DA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9</w:t>
            </w:r>
            <w:r w:rsidRPr="00C116DA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КОЕ/см</w:t>
            </w:r>
            <w:r w:rsidRPr="00C116DA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633D51" w:rsidRPr="00DD0BFA" w:rsidTr="00DC66D5">
        <w:trPr>
          <w:trHeight w:val="40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DD0BFA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8E6697" w:rsidRDefault="00633D51" w:rsidP="008E669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РИЗОЛАЙН-Ж для СОИ</w:t>
            </w:r>
            <w:r w:rsidRPr="008E66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E6697">
              <w:rPr>
                <w:rFonts w:ascii="Arial" w:hAnsi="Arial" w:cs="Arial"/>
                <w:bCs/>
                <w:sz w:val="16"/>
                <w:szCs w:val="16"/>
              </w:rPr>
              <w:t xml:space="preserve">(жидкая </w:t>
            </w:r>
            <w:proofErr w:type="spellStart"/>
            <w:r w:rsidRPr="008E6697">
              <w:rPr>
                <w:rFonts w:ascii="Arial" w:hAnsi="Arial" w:cs="Arial"/>
                <w:bCs/>
                <w:sz w:val="16"/>
                <w:szCs w:val="16"/>
              </w:rPr>
              <w:t>гелевая</w:t>
            </w:r>
            <w:proofErr w:type="spellEnd"/>
            <w:r w:rsidRPr="008E6697">
              <w:rPr>
                <w:rFonts w:ascii="Arial" w:hAnsi="Arial" w:cs="Arial"/>
                <w:bCs/>
                <w:sz w:val="16"/>
                <w:szCs w:val="16"/>
              </w:rPr>
              <w:t xml:space="preserve"> форма) на основе штаммов 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Bradyrhizobium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japonikum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Соя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1,0-3,0 </w:t>
            </w:r>
          </w:p>
        </w:tc>
        <w:tc>
          <w:tcPr>
            <w:tcW w:w="1417" w:type="dxa"/>
            <w:vMerge w:val="restart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176,4-529,2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норме высева 120кг/га</w:t>
            </w:r>
          </w:p>
        </w:tc>
      </w:tr>
      <w:tr w:rsidR="00633D51" w:rsidRPr="00DD0BFA" w:rsidTr="00DC66D5">
        <w:trPr>
          <w:trHeight w:val="27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D0BFA" w:rsidRDefault="00633D51" w:rsidP="008E6697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Средняя гектарная норма-240 мл</w:t>
            </w:r>
          </w:p>
        </w:tc>
        <w:tc>
          <w:tcPr>
            <w:tcW w:w="1417" w:type="dxa"/>
            <w:vMerge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</w:tr>
      <w:tr w:rsidR="00633D51" w:rsidRPr="00DD0BFA" w:rsidTr="00DC66D5">
        <w:trPr>
          <w:trHeight w:val="424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DD0BFA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3D51" w:rsidRPr="00DD0BFA" w:rsidRDefault="00633D51" w:rsidP="008E669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РИЗОЛАЙН-Т для СОИ</w:t>
            </w:r>
            <w:r w:rsidRPr="00DD0BF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8E6697">
              <w:rPr>
                <w:rFonts w:ascii="Arial" w:hAnsi="Arial" w:cs="Arial"/>
                <w:bCs/>
                <w:sz w:val="16"/>
                <w:szCs w:val="16"/>
              </w:rPr>
              <w:t xml:space="preserve">(торфяная форма) на основе штаммов 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Bradyrhizobium</w:t>
            </w:r>
            <w:r w:rsidRPr="008E66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6697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japonikum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33D51" w:rsidRPr="00DD0BFA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D0BFA">
              <w:rPr>
                <w:rFonts w:ascii="Arial" w:hAnsi="Arial" w:cs="Arial"/>
                <w:bCs/>
                <w:sz w:val="14"/>
                <w:szCs w:val="14"/>
              </w:rPr>
              <w:t>кг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Соя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861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7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202,8-405,6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норме высева 120 кг/га</w:t>
            </w:r>
          </w:p>
        </w:tc>
      </w:tr>
      <w:tr w:rsidR="00633D51" w:rsidRPr="00286813" w:rsidTr="00DC66D5">
        <w:trPr>
          <w:trHeight w:val="251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B35327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8E6697" w:rsidRDefault="00633D51" w:rsidP="008E669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РИЗОЛАЙН-Ж</w:t>
            </w:r>
          </w:p>
          <w:p w:rsidR="00633D51" w:rsidRPr="008E6697" w:rsidRDefault="00633D51" w:rsidP="008E669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E6697">
              <w:rPr>
                <w:rFonts w:ascii="Arial" w:hAnsi="Arial" w:cs="Arial"/>
                <w:bCs/>
                <w:sz w:val="16"/>
                <w:szCs w:val="16"/>
              </w:rPr>
              <w:t xml:space="preserve">(жидкая </w:t>
            </w:r>
            <w:proofErr w:type="spellStart"/>
            <w:r w:rsidRPr="008E6697">
              <w:rPr>
                <w:rFonts w:ascii="Arial" w:hAnsi="Arial" w:cs="Arial"/>
                <w:bCs/>
                <w:sz w:val="16"/>
                <w:szCs w:val="16"/>
              </w:rPr>
              <w:t>гелевая</w:t>
            </w:r>
            <w:proofErr w:type="spellEnd"/>
            <w:r w:rsidRPr="008E6697">
              <w:rPr>
                <w:rFonts w:ascii="Arial" w:hAnsi="Arial" w:cs="Arial"/>
                <w:bCs/>
                <w:sz w:val="16"/>
                <w:szCs w:val="16"/>
              </w:rPr>
              <w:t xml:space="preserve"> форма)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горох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861" w:type="dxa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285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норме высева 300кг/га</w:t>
            </w:r>
          </w:p>
        </w:tc>
      </w:tr>
      <w:tr w:rsidR="00633D51" w:rsidRPr="00286813" w:rsidTr="00DC66D5">
        <w:trPr>
          <w:trHeight w:val="47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Люпин, чечевица, фасоль и др. бобовые</w:t>
            </w:r>
          </w:p>
        </w:tc>
        <w:tc>
          <w:tcPr>
            <w:tcW w:w="1842" w:type="dxa"/>
            <w:vMerge/>
            <w:shd w:val="clear" w:color="auto" w:fill="auto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1150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Люпин 230-460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норме высева 200кг/га</w:t>
            </w:r>
          </w:p>
        </w:tc>
      </w:tr>
      <w:tr w:rsidR="00633D51" w:rsidRPr="00286813" w:rsidTr="00DC66D5">
        <w:trPr>
          <w:trHeight w:val="24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нут</w:t>
            </w:r>
          </w:p>
        </w:tc>
        <w:tc>
          <w:tcPr>
            <w:tcW w:w="1842" w:type="dxa"/>
            <w:vMerge/>
            <w:shd w:val="clear" w:color="auto" w:fill="auto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161-322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средней норме высева 140кг/га</w:t>
            </w:r>
          </w:p>
        </w:tc>
      </w:tr>
      <w:tr w:rsidR="00633D51" w:rsidRPr="00286813" w:rsidTr="00DC66D5">
        <w:trPr>
          <w:trHeight w:val="47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люцерна</w:t>
            </w:r>
          </w:p>
        </w:tc>
        <w:tc>
          <w:tcPr>
            <w:tcW w:w="1842" w:type="dxa"/>
            <w:vMerge/>
            <w:shd w:val="clear" w:color="auto" w:fill="auto"/>
          </w:tcPr>
          <w:p w:rsidR="00633D51" w:rsidRPr="008E6697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3,0-4,0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41,4-55,2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средней норме высева 12кг/га</w:t>
            </w:r>
          </w:p>
        </w:tc>
      </w:tr>
      <w:tr w:rsidR="00633D51" w:rsidRPr="00286813" w:rsidTr="00DC66D5">
        <w:trPr>
          <w:trHeight w:val="47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021823" w:rsidRDefault="001E61EC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3795">
              <w:rPr>
                <w:rFonts w:ascii="Arial" w:hAnsi="Arial" w:cs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821709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РИЗОЛАЙН-Т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E6697">
              <w:rPr>
                <w:rFonts w:ascii="Arial" w:hAnsi="Arial" w:cs="Arial"/>
                <w:b/>
                <w:bCs/>
                <w:sz w:val="16"/>
                <w:szCs w:val="16"/>
              </w:rPr>
              <w:t>на основе торфа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кг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Горох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Предпосевная инокуляция семян</w:t>
            </w:r>
          </w:p>
        </w:tc>
        <w:tc>
          <w:tcPr>
            <w:tcW w:w="861" w:type="dxa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330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норме высева 300кг/га</w:t>
            </w:r>
          </w:p>
        </w:tc>
      </w:tr>
      <w:tr w:rsidR="00633D51" w:rsidRPr="00286813" w:rsidTr="00DC66D5">
        <w:trPr>
          <w:trHeight w:val="47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>Люпин, чечевица, фасоль, др. бобовые</w:t>
            </w:r>
          </w:p>
        </w:tc>
        <w:tc>
          <w:tcPr>
            <w:tcW w:w="1842" w:type="dxa"/>
            <w:vMerge/>
            <w:shd w:val="clear" w:color="auto" w:fill="auto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61" w:type="dxa"/>
            <w:vMerge w:val="restart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6697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shd w:val="clear" w:color="auto" w:fill="auto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Люпин 260-520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норме высева 200кг/га</w:t>
            </w:r>
          </w:p>
        </w:tc>
      </w:tr>
      <w:tr w:rsidR="00633D51" w:rsidRPr="00286813" w:rsidTr="00DC66D5">
        <w:trPr>
          <w:trHeight w:val="47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8E669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669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Нут </w:t>
            </w:r>
          </w:p>
        </w:tc>
        <w:tc>
          <w:tcPr>
            <w:tcW w:w="1842" w:type="dxa"/>
            <w:vMerge/>
            <w:shd w:val="clear" w:color="auto" w:fill="auto"/>
          </w:tcPr>
          <w:p w:rsidR="00633D51" w:rsidRPr="00576492" w:rsidRDefault="00633D51" w:rsidP="00DC66D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7" w:type="dxa"/>
          </w:tcPr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182-364</w:t>
            </w:r>
          </w:p>
          <w:p w:rsidR="00633D51" w:rsidRPr="008E6697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669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При средней норме высева 140кг/га</w:t>
            </w:r>
          </w:p>
        </w:tc>
      </w:tr>
      <w:tr w:rsidR="00633D51" w:rsidRPr="00286813" w:rsidTr="00DC66D5">
        <w:trPr>
          <w:trHeight w:val="496"/>
          <w:jc w:val="right"/>
        </w:trPr>
        <w:tc>
          <w:tcPr>
            <w:tcW w:w="10773" w:type="dxa"/>
            <w:gridSpan w:val="8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Прилипатели</w:t>
            </w:r>
            <w:proofErr w:type="spellEnd"/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адьюванты</w:t>
            </w:r>
            <w:proofErr w:type="spellEnd"/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клей.</w:t>
            </w:r>
            <w:r w:rsidRPr="00DD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322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Многофункциональные природные препараты на основе биополимеров и </w:t>
            </w:r>
            <w:proofErr w:type="spellStart"/>
            <w:r w:rsidRPr="006322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биоПАВ</w:t>
            </w:r>
            <w:proofErr w:type="spellEnd"/>
            <w:r w:rsidRPr="006322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  <w:p w:rsidR="00633D51" w:rsidRPr="00DD34F8" w:rsidRDefault="00633D51" w:rsidP="00DC66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322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Липосам</w:t>
            </w:r>
            <w:proofErr w:type="spellEnd"/>
            <w:r w:rsidRPr="006322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3220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биоприлипатель</w:t>
            </w:r>
            <w:proofErr w:type="spellEnd"/>
            <w:r w:rsidRPr="006322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носитель пестицидов, микроэлементов и биопрепаратов</w:t>
            </w:r>
            <w:r w:rsidRPr="006322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633D51" w:rsidRPr="00286813" w:rsidTr="00DC66D5">
        <w:trPr>
          <w:trHeight w:val="324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B35327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632201" w:rsidRDefault="00633D51" w:rsidP="00DC6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632201">
              <w:rPr>
                <w:rFonts w:ascii="Arial" w:hAnsi="Arial" w:cs="Arial"/>
                <w:b/>
                <w:bCs/>
                <w:sz w:val="18"/>
                <w:szCs w:val="18"/>
              </w:rPr>
              <w:t>Липосам</w:t>
            </w:r>
            <w:proofErr w:type="spellEnd"/>
            <w:r w:rsidRPr="00632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(концентрат) - </w:t>
            </w:r>
            <w:proofErr w:type="spellStart"/>
            <w:r w:rsidRPr="00632201">
              <w:rPr>
                <w:rFonts w:ascii="Arial" w:hAnsi="Arial" w:cs="Arial"/>
                <w:b/>
                <w:bCs/>
                <w:sz w:val="18"/>
                <w:szCs w:val="18"/>
              </w:rPr>
              <w:t>биоклей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576492"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Для склеивания стручков: рапса, горчицы; бобов: гороха, сои, фасоли и др.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При наземном опрыскивании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201">
              <w:rPr>
                <w:rFonts w:ascii="Arial" w:hAnsi="Arial" w:cs="Arial"/>
                <w:b/>
                <w:bCs/>
                <w:sz w:val="18"/>
                <w:szCs w:val="18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0,7-1,5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3220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549,5-1177,5</w:t>
            </w:r>
          </w:p>
        </w:tc>
      </w:tr>
      <w:tr w:rsidR="00633D51" w:rsidRPr="00286813" w:rsidTr="00DC66D5">
        <w:trPr>
          <w:trHeight w:val="3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B3532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66071" w:rsidRDefault="00633D51" w:rsidP="00DC66D5">
            <w:pP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При опрыскивании с самолета</w:t>
            </w:r>
          </w:p>
        </w:tc>
        <w:tc>
          <w:tcPr>
            <w:tcW w:w="861" w:type="dxa"/>
            <w:vMerge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0,7-1,5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549,5-1177,5</w:t>
            </w:r>
          </w:p>
        </w:tc>
      </w:tr>
      <w:tr w:rsidR="00633D51" w:rsidRPr="00286813" w:rsidTr="00DC66D5">
        <w:trPr>
          <w:trHeight w:val="3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B3532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6607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При опрыскивании с дельтаплана</w:t>
            </w:r>
          </w:p>
        </w:tc>
        <w:tc>
          <w:tcPr>
            <w:tcW w:w="861" w:type="dxa"/>
            <w:vMerge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0,5-0,8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392,35-628</w:t>
            </w:r>
          </w:p>
        </w:tc>
      </w:tr>
      <w:tr w:rsidR="00633D51" w:rsidRPr="00286813" w:rsidTr="00DC66D5">
        <w:trPr>
          <w:trHeight w:val="226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7A4E56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Липосам</w:t>
            </w:r>
            <w:proofErr w:type="spellEnd"/>
            <w:r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="00632201" w:rsidRPr="0063220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биоприлипатель</w:t>
            </w:r>
            <w:proofErr w:type="spellEnd"/>
            <w:r w:rsidR="00632201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, </w:t>
            </w:r>
            <w:r w:rsidR="00632201" w:rsidRPr="0063220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носитель</w:t>
            </w:r>
            <w:r w:rsidRPr="0063220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пестицидов, микроэлементов и биопрепаратов.</w:t>
            </w:r>
            <w:r w:rsidRPr="006322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63220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E64B4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Входит в состав технологии Стресс-Стоп</w:t>
            </w:r>
            <w:r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</w:t>
            </w:r>
            <w:r w:rsidRPr="00DD0BFA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Зерновые, зернобобовые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Обработка семян</w:t>
            </w:r>
          </w:p>
        </w:tc>
        <w:tc>
          <w:tcPr>
            <w:tcW w:w="861" w:type="dxa"/>
            <w:vMerge w:val="restart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2201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0,15-0,3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33-66</w:t>
            </w:r>
          </w:p>
        </w:tc>
      </w:tr>
      <w:tr w:rsidR="00633D51" w:rsidRPr="00286813" w:rsidTr="00DC66D5">
        <w:trPr>
          <w:trHeight w:val="28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Картофель (клубни), луковицы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0,15-0,3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199,5-399</w:t>
            </w:r>
          </w:p>
        </w:tc>
      </w:tr>
      <w:tr w:rsidR="00633D51" w:rsidRPr="00286813" w:rsidTr="00DC66D5">
        <w:trPr>
          <w:trHeight w:val="23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Технические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0,25-0,5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1,5-3</w:t>
            </w:r>
          </w:p>
        </w:tc>
      </w:tr>
      <w:tr w:rsidR="00633D51" w:rsidRPr="00286813" w:rsidTr="00DC66D5">
        <w:trPr>
          <w:trHeight w:val="27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Свекла (сахарная, столовая, кормовая)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0,5-1,0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9</w:t>
            </w:r>
          </w:p>
        </w:tc>
      </w:tr>
      <w:tr w:rsidR="00633D51" w:rsidRPr="00286813" w:rsidTr="00DC66D5">
        <w:trPr>
          <w:trHeight w:val="239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Овощные культуры и цветы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1,0-1,5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9</w:t>
            </w:r>
          </w:p>
        </w:tc>
      </w:tr>
      <w:tr w:rsidR="00633D51" w:rsidRPr="00286813" w:rsidTr="00DC66D5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Зерновые, зернобобовые, крупяные, технические, картофель (клубни), луковицы, свекла (сахарная, столовая, кормовая)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Опрыскивание по вегетации</w:t>
            </w: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0,15-0,3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60-120</w:t>
            </w:r>
          </w:p>
        </w:tc>
      </w:tr>
      <w:tr w:rsidR="00633D51" w:rsidRPr="00286813" w:rsidTr="00DC66D5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Плодово-ягодные культуры, овощные культуры, цветы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0,3-0,7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120-280</w:t>
            </w:r>
          </w:p>
        </w:tc>
      </w:tr>
      <w:tr w:rsidR="00633D51" w:rsidRPr="00286813" w:rsidTr="00DC66D5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Плодовые деревья, виноград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400-800</w:t>
            </w:r>
          </w:p>
        </w:tc>
      </w:tr>
      <w:tr w:rsidR="00633D51" w:rsidRPr="00286813" w:rsidTr="00DC66D5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Деревья, кусты декоративные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0,3-0,5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120-200</w:t>
            </w:r>
          </w:p>
        </w:tc>
      </w:tr>
      <w:tr w:rsidR="00633D51" w:rsidRPr="00286813" w:rsidTr="00DC66D5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На почвах с тяжелым гранулометрическим составом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63220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Липосам</w:t>
            </w:r>
            <w:proofErr w:type="spellEnd"/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proofErr w:type="spellStart"/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адьювант</w:t>
            </w:r>
            <w:proofErr w:type="spellEnd"/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-носитель для почвенных гербицидов</w:t>
            </w: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0,5-0,8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200-320</w:t>
            </w:r>
          </w:p>
        </w:tc>
      </w:tr>
      <w:tr w:rsidR="00633D51" w:rsidRPr="00286813" w:rsidTr="00DC66D5">
        <w:trPr>
          <w:trHeight w:val="4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32201">
              <w:rPr>
                <w:rFonts w:ascii="Arial" w:hAnsi="Arial" w:cs="Arial"/>
                <w:b/>
                <w:bCs/>
                <w:sz w:val="14"/>
                <w:szCs w:val="14"/>
              </w:rPr>
              <w:t>На почвах с легким гранулометрическим составом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0,7-1,0</w:t>
            </w: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22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280-400</w:t>
            </w:r>
          </w:p>
        </w:tc>
      </w:tr>
      <w:tr w:rsidR="00633D51" w:rsidRPr="00286813" w:rsidTr="00DC66D5">
        <w:trPr>
          <w:trHeight w:val="411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B35327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D66071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61" w:type="dxa"/>
            <w:vMerge/>
          </w:tcPr>
          <w:p w:rsidR="00633D51" w:rsidRPr="00576492" w:rsidRDefault="00633D51" w:rsidP="00DC66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632201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633D51" w:rsidRPr="00632201" w:rsidRDefault="00633D51" w:rsidP="00DC66D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633D51" w:rsidRPr="00E75DDC" w:rsidRDefault="00633D51" w:rsidP="00633D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1"/>
        <w:tblW w:w="1076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45"/>
        <w:gridCol w:w="451"/>
        <w:gridCol w:w="2407"/>
        <w:gridCol w:w="1842"/>
        <w:gridCol w:w="844"/>
        <w:gridCol w:w="1151"/>
        <w:gridCol w:w="1412"/>
      </w:tblGrid>
      <w:tr w:rsidR="00633D51" w:rsidRPr="00286813" w:rsidTr="00DC66D5">
        <w:trPr>
          <w:trHeight w:val="647"/>
          <w:jc w:val="right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C66D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lastRenderedPageBreak/>
              <w:t xml:space="preserve">Препараты </w:t>
            </w:r>
            <w:r w:rsidR="00DC66D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br/>
            </w: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для оздоровления почвы и восстановления плодородия, разложения стерни и органических остатков, компостирования.</w:t>
            </w:r>
          </w:p>
          <w:p w:rsidR="00633D51" w:rsidRPr="00821709" w:rsidRDefault="00633D51" w:rsidP="00DC66D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Состав: продуценты </w:t>
            </w:r>
            <w:proofErr w:type="spellStart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целлюлаз</w:t>
            </w:r>
            <w:proofErr w:type="spellEnd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других ферментов, разлагающих растительные остатки, природные азотфиксирующие бактерии, </w:t>
            </w:r>
            <w:proofErr w:type="spellStart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фунгицидные</w:t>
            </w:r>
            <w:proofErr w:type="spellEnd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бактерии широкого спектра действия, фосфор – и </w:t>
            </w:r>
            <w:proofErr w:type="spellStart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калиймобилизирующие</w:t>
            </w:r>
            <w:proofErr w:type="spellEnd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почвенные бактерии, </w:t>
            </w:r>
            <w:proofErr w:type="spellStart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др.полезная</w:t>
            </w:r>
            <w:proofErr w:type="spellEnd"/>
            <w:r w:rsidRPr="00CD78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микрофлора (молочнокислые бактерии), фитогормоны, витамины, аминокислоты, макро- и микроэлементы.</w:t>
            </w: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Общий титр</w:t>
            </w: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от 2х10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9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до 5х10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9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КОЕ/см</w:t>
            </w:r>
            <w:r w:rsidRPr="00CD781B">
              <w:rPr>
                <w:rFonts w:ascii="Arial" w:eastAsia="Times New Roman" w:hAnsi="Arial" w:cs="Arial"/>
                <w:b/>
                <w:i/>
                <w:sz w:val="16"/>
                <w:szCs w:val="16"/>
                <w:vertAlign w:val="superscript"/>
                <w:lang w:eastAsia="ru-RU"/>
              </w:rPr>
              <w:t>3</w:t>
            </w:r>
          </w:p>
        </w:tc>
      </w:tr>
      <w:tr w:rsidR="00633D51" w:rsidRPr="00CD781B" w:rsidTr="00DC66D5">
        <w:trPr>
          <w:trHeight w:val="663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CD781B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DC66D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для стерни и почвы.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Деструктор стерни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Для оздоровления почвы, разложения стерни и восстановления плодородия почвы</w:t>
            </w:r>
          </w:p>
        </w:tc>
        <w:tc>
          <w:tcPr>
            <w:tcW w:w="844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0,5-2,5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200-1000</w:t>
            </w:r>
          </w:p>
        </w:tc>
      </w:tr>
      <w:tr w:rsidR="00633D51" w:rsidRPr="00CD781B" w:rsidTr="00DC66D5">
        <w:trPr>
          <w:trHeight w:val="663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CD781B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для стерни и почвы (концентрат </w:t>
            </w:r>
            <w:proofErr w:type="spellStart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Экостерн</w:t>
            </w:r>
            <w:proofErr w:type="spellEnd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Стерня и почва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Для оздоровления почвы и разложения пожнивных остатков, в частности для тяжело разлагаемых подсолнечника, кукурузы и др. </w:t>
            </w:r>
          </w:p>
        </w:tc>
        <w:tc>
          <w:tcPr>
            <w:tcW w:w="844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570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0,25-2,0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142,5-1140</w:t>
            </w:r>
          </w:p>
        </w:tc>
      </w:tr>
      <w:tr w:rsidR="00633D51" w:rsidRPr="00CD781B" w:rsidTr="00DC66D5">
        <w:trPr>
          <w:trHeight w:val="49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CD781B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почвенный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BIO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NPK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PK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-мобилизатор)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Интегрированное выращивание с/х культур</w:t>
            </w:r>
          </w:p>
        </w:tc>
        <w:tc>
          <w:tcPr>
            <w:tcW w:w="844" w:type="dxa"/>
            <w:vMerge w:val="restart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3,0-5,0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1170-1950</w:t>
            </w:r>
          </w:p>
        </w:tc>
      </w:tr>
      <w:tr w:rsidR="00633D51" w:rsidRPr="00CD781B" w:rsidTr="00DC66D5">
        <w:trPr>
          <w:trHeight w:val="55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БИОКОМПЛЕКС-БТУ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почвенный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BIO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NPK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PK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-мобилизатор)</w:t>
            </w: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Органическое земледелие</w:t>
            </w: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5,0-10,0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1950-3900</w:t>
            </w:r>
          </w:p>
        </w:tc>
      </w:tr>
      <w:tr w:rsidR="00633D51" w:rsidRPr="00CD781B" w:rsidTr="00DC66D5">
        <w:trPr>
          <w:trHeight w:val="733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CD781B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ОРГАНИК</w:t>
            </w:r>
            <w:r w:rsidRPr="00DC66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БАЛАНС</w:t>
            </w:r>
            <w:r w:rsidRPr="00DC66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технология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no-till, mini-till, strip-till) 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Почва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Оздоровление почвы и разложение пожнивных остатков</w:t>
            </w:r>
          </w:p>
        </w:tc>
        <w:tc>
          <w:tcPr>
            <w:tcW w:w="844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760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0,5-2,0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380-1520</w:t>
            </w:r>
          </w:p>
        </w:tc>
      </w:tr>
      <w:tr w:rsidR="00633D51" w:rsidRPr="00CD781B" w:rsidTr="00DC66D5">
        <w:trPr>
          <w:trHeight w:val="733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CD781B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КОМПОНАЗА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Для компостирования (навоза, растительных остатков и др.)</w:t>
            </w:r>
          </w:p>
        </w:tc>
        <w:tc>
          <w:tcPr>
            <w:tcW w:w="844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0,05-0,25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19-95</w:t>
            </w:r>
          </w:p>
        </w:tc>
      </w:tr>
      <w:tr w:rsidR="00633D51" w:rsidRPr="00CD781B" w:rsidTr="00DC66D5">
        <w:trPr>
          <w:trHeight w:val="733"/>
          <w:jc w:val="right"/>
        </w:trPr>
        <w:tc>
          <w:tcPr>
            <w:tcW w:w="416" w:type="dxa"/>
            <w:shd w:val="clear" w:color="auto" w:fill="auto"/>
            <w:vAlign w:val="center"/>
          </w:tcPr>
          <w:p w:rsidR="00633D51" w:rsidRPr="00CD781B" w:rsidRDefault="004B3795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БИОКОМПЛЕКС-БТУ </w:t>
            </w:r>
          </w:p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Биоконсервант</w:t>
            </w:r>
            <w:proofErr w:type="spellEnd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4249" w:type="dxa"/>
            <w:gridSpan w:val="2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Биоконсервант</w:t>
            </w:r>
            <w:proofErr w:type="spellEnd"/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для силосования</w:t>
            </w:r>
          </w:p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Состав: 4 вида молочнокислых бактерий, высокий концентрации 0,8-10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  <w:vertAlign w:val="subscript"/>
              </w:rPr>
              <w:t xml:space="preserve">11 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КОЕ/см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44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2400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0,008-0,015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19,2-36</w:t>
            </w:r>
          </w:p>
        </w:tc>
      </w:tr>
      <w:tr w:rsidR="00633D51" w:rsidRPr="00CD781B" w:rsidTr="00DC66D5">
        <w:trPr>
          <w:trHeight w:val="733"/>
          <w:jc w:val="right"/>
        </w:trPr>
        <w:tc>
          <w:tcPr>
            <w:tcW w:w="10768" w:type="dxa"/>
            <w:gridSpan w:val="8"/>
            <w:shd w:val="clear" w:color="auto" w:fill="auto"/>
            <w:vAlign w:val="center"/>
          </w:tcPr>
          <w:p w:rsidR="00633D51" w:rsidRPr="00CD781B" w:rsidRDefault="00633D51" w:rsidP="00DC66D5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Препараты высокоэффективны против широкого спектра грибковых и бактериальных болезней, таких как: мучнистая роса,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гельминтоспориозные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корневые гнили, бурая ржавчина,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ризоктониоз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альтернариоз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сухие мокрые гнили клубней,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фомоз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слизистый бактериоз, трахеомикозные увядания,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пероноспороз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(ложномучнистая роса), черная бактериальная пятнистость, бактериальный рак,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церкоспороз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кагатная гниль (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фуразиозная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гниль, черная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плесневидная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гниль, зеленая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пенициллезная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гниль), гнили при хранении (белая гниль, серая гниль, черная сухая гниль,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фомоз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монилиальная</w:t>
            </w:r>
            <w:proofErr w:type="spellEnd"/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гниль), фитофтороз, снежная плесень, парша, плодовые гнили, ржавчина, белая пятнистость, ржавая пятнистость, розовая плесень, американская мучнистая роса</w:t>
            </w:r>
            <w:r w:rsidR="00DC66D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и др</w:t>
            </w: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633D51" w:rsidRPr="00CD781B" w:rsidTr="00DC66D5">
        <w:trPr>
          <w:trHeight w:val="411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CD781B" w:rsidRDefault="001E61EC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="004B3795">
              <w:rPr>
                <w:rFonts w:ascii="Arial" w:hAnsi="Arial" w:cs="Arial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БИОКОМПЛЕКС-БТУ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для защиты и питания (</w:t>
            </w:r>
            <w:proofErr w:type="spellStart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фунгицидные</w:t>
            </w:r>
            <w:proofErr w:type="spellEnd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свойства)</w:t>
            </w:r>
          </w:p>
          <w:p w:rsidR="00633D51" w:rsidRPr="00CD781B" w:rsidRDefault="00633D51" w:rsidP="00DC66D5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Биопрепарат содержит живые клетки и споры естественной </w:t>
            </w:r>
            <w:proofErr w:type="spellStart"/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эндофитной</w:t>
            </w:r>
            <w:proofErr w:type="spellEnd"/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бактерии 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Bacillus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subtilis</w:t>
            </w:r>
            <w:proofErr w:type="spellEnd"/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количестве от 1 х 10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 3 х 10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9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КОЕ/см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</w:t>
            </w:r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их активные метаболиты: ферменты, витамины, </w:t>
            </w:r>
            <w:proofErr w:type="spellStart"/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фунгицидные</w:t>
            </w:r>
            <w:proofErr w:type="spellEnd"/>
            <w:r w:rsidRPr="00DC66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вещества, макро- и микроэлементы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Зерновые и зернобобовые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Защита семян</w:t>
            </w:r>
          </w:p>
        </w:tc>
        <w:tc>
          <w:tcPr>
            <w:tcW w:w="844" w:type="dxa"/>
            <w:vMerge w:val="restart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590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0,5-1,5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 55</w:t>
            </w:r>
          </w:p>
        </w:tc>
      </w:tr>
      <w:tr w:rsidR="00633D51" w:rsidRPr="00CD781B" w:rsidTr="00DC66D5">
        <w:trPr>
          <w:trHeight w:val="27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Технические культуры (подсолнечник, рапс)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633D51" w:rsidRPr="00CD781B" w:rsidTr="00DC66D5">
        <w:trPr>
          <w:trHeight w:val="36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Овощные культуры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2,5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2,6</w:t>
            </w:r>
          </w:p>
        </w:tc>
      </w:tr>
      <w:tr w:rsidR="00633D51" w:rsidRPr="00CD781B" w:rsidTr="00DC66D5">
        <w:trPr>
          <w:trHeight w:val="31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Клубни семенного картофеля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0,25-0,5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 480</w:t>
            </w:r>
          </w:p>
        </w:tc>
      </w:tr>
      <w:tr w:rsidR="00633D51" w:rsidRPr="00CD781B" w:rsidTr="00DC66D5">
        <w:trPr>
          <w:trHeight w:val="358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Зерновые, бобовые, технические культуры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Опрыскивание по вегетации</w:t>
            </w: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0,4-0,8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236-472</w:t>
            </w:r>
          </w:p>
        </w:tc>
      </w:tr>
      <w:tr w:rsidR="00633D51" w:rsidRPr="00CD781B" w:rsidTr="00DC66D5">
        <w:trPr>
          <w:trHeight w:val="29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Свекла (сахарная, столовая, кормовая)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0,8-1,5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472-885</w:t>
            </w:r>
          </w:p>
        </w:tc>
      </w:tr>
      <w:tr w:rsidR="00633D51" w:rsidRPr="00CD781B" w:rsidTr="00DC66D5">
        <w:trPr>
          <w:trHeight w:val="38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Овощные культуры, картофель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0,5-2,5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295-1475</w:t>
            </w:r>
          </w:p>
        </w:tc>
      </w:tr>
      <w:tr w:rsidR="00633D51" w:rsidRPr="00CD781B" w:rsidTr="00DC66D5">
        <w:trPr>
          <w:trHeight w:val="40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Саженцы деревьев, цветов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1,0-2,0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590-1180</w:t>
            </w:r>
          </w:p>
        </w:tc>
      </w:tr>
      <w:tr w:rsidR="00633D51" w:rsidRPr="00CD781B" w:rsidTr="00DC66D5">
        <w:trPr>
          <w:trHeight w:val="4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Ягодники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0,7-1,5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413-885</w:t>
            </w:r>
          </w:p>
        </w:tc>
      </w:tr>
      <w:tr w:rsidR="00633D51" w:rsidRPr="00CD781B" w:rsidTr="00DC66D5">
        <w:trPr>
          <w:trHeight w:val="372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Технические культуры (подсолнечник, рапс)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10,5-17,5</w:t>
            </w:r>
          </w:p>
        </w:tc>
      </w:tr>
      <w:tr w:rsidR="00633D51" w:rsidRPr="00CD781B" w:rsidTr="00DC66D5">
        <w:trPr>
          <w:trHeight w:val="40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Овощные культуры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8,6</w:t>
            </w:r>
          </w:p>
        </w:tc>
      </w:tr>
      <w:tr w:rsidR="00633D51" w:rsidRPr="00CD781B" w:rsidTr="00DC66D5">
        <w:trPr>
          <w:trHeight w:val="7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Клубни семенного картофеля, лука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4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0,25-0,4</w:t>
            </w:r>
          </w:p>
        </w:tc>
        <w:tc>
          <w:tcPr>
            <w:tcW w:w="141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761,3-1218</w:t>
            </w:r>
          </w:p>
        </w:tc>
      </w:tr>
    </w:tbl>
    <w:p w:rsidR="00633D51" w:rsidRPr="00CD781B" w:rsidRDefault="00633D51" w:rsidP="00633D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3D51" w:rsidRPr="00CD781B" w:rsidRDefault="00633D51" w:rsidP="00633D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0768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268"/>
        <w:gridCol w:w="425"/>
        <w:gridCol w:w="2410"/>
        <w:gridCol w:w="1842"/>
        <w:gridCol w:w="851"/>
        <w:gridCol w:w="1134"/>
        <w:gridCol w:w="1422"/>
      </w:tblGrid>
      <w:tr w:rsidR="00633D51" w:rsidRPr="00CD781B" w:rsidTr="00DC66D5">
        <w:trPr>
          <w:trHeight w:val="282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>ФИТОХЕЛП</w:t>
            </w: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–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биопрепарат широкого спектра действия с высоким </w:t>
            </w:r>
            <w:proofErr w:type="spellStart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фунгицидным</w:t>
            </w:r>
            <w:proofErr w:type="spellEnd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выраженным бактерицидным действием</w:t>
            </w:r>
          </w:p>
          <w:p w:rsidR="00633D51" w:rsidRPr="00DC66D5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Концентрированная смесь нескольких </w:t>
            </w:r>
            <w:proofErr w:type="spellStart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штамов</w:t>
            </w:r>
            <w:proofErr w:type="spellEnd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природных бактерий 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Bacillus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subtilis</w:t>
            </w:r>
            <w:proofErr w:type="spellEnd"/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, титр не менее чем 4 х 10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9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КОЕ/см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Зерновые, бобовые, технические культуры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Опрыскивание по вегетации</w:t>
            </w:r>
          </w:p>
        </w:tc>
        <w:tc>
          <w:tcPr>
            <w:tcW w:w="851" w:type="dxa"/>
            <w:vMerge w:val="restart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81B">
              <w:rPr>
                <w:rFonts w:ascii="Arial" w:hAnsi="Arial" w:cs="Arial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0,4-0,6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360-540</w:t>
            </w:r>
          </w:p>
        </w:tc>
      </w:tr>
      <w:tr w:rsidR="00633D51" w:rsidRPr="00CD781B" w:rsidTr="00DC66D5">
        <w:trPr>
          <w:trHeight w:val="350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Свекла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0,8-1,0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720-900</w:t>
            </w:r>
          </w:p>
        </w:tc>
      </w:tr>
      <w:tr w:rsidR="00633D51" w:rsidRPr="00CD781B" w:rsidTr="00DC66D5">
        <w:trPr>
          <w:trHeight w:val="40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Овощные культуры, картофель, лук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0,5-2,0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450-1800</w:t>
            </w:r>
          </w:p>
        </w:tc>
      </w:tr>
      <w:tr w:rsidR="00633D51" w:rsidRPr="00CD781B" w:rsidTr="00DC66D5">
        <w:trPr>
          <w:trHeight w:val="4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Саженцы фруктовых деревьев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1,0-1,5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900-1350</w:t>
            </w:r>
          </w:p>
        </w:tc>
      </w:tr>
      <w:tr w:rsidR="00633D51" w:rsidRPr="00CD781B" w:rsidTr="00DC66D5">
        <w:trPr>
          <w:trHeight w:val="116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Ягодники 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0,7-1,0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630-900</w:t>
            </w:r>
          </w:p>
        </w:tc>
      </w:tr>
      <w:tr w:rsidR="00633D51" w:rsidRPr="00CD781B" w:rsidTr="00DC66D5">
        <w:trPr>
          <w:trHeight w:val="246"/>
          <w:jc w:val="right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71DF" w:rsidRPr="006271DF" w:rsidRDefault="00DC66D5" w:rsidP="006271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66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МИКОХЕЛП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="00633D51" w:rsidRPr="00DC66D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MycoHelp</w:t>
            </w:r>
            <w:r w:rsidRPr="00DC66D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633D51" w:rsidRPr="00DC66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</w:t>
            </w:r>
            <w:r w:rsidR="00633D51" w:rsidRPr="00627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биопрепарат с </w:t>
            </w:r>
            <w:proofErr w:type="spellStart"/>
            <w:r w:rsidR="00633D51" w:rsidRPr="006271DF">
              <w:rPr>
                <w:rFonts w:ascii="Arial" w:hAnsi="Arial" w:cs="Arial"/>
                <w:b/>
                <w:bCs/>
                <w:sz w:val="16"/>
                <w:szCs w:val="16"/>
              </w:rPr>
              <w:t>биофунгицидными</w:t>
            </w:r>
            <w:proofErr w:type="spellEnd"/>
            <w:r w:rsidR="00633D51" w:rsidRPr="006271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свойствами – для семян и почвы</w:t>
            </w:r>
            <w:r w:rsidR="006271DF" w:rsidRPr="006271D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-  живые клетки бактерий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Bacillus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subtilis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Azotobacter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Enterobacter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Enterococcus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 сапрофитные грибы-антагонисты - биологически активные продукты жизнедеятельности микроорганизмов: ферменты, витамины,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фунгицидные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 вещества. - грибы-антагонисты угнетают развитие таких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фитопатогенов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как: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Rhizoctoria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Phytophthora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Pythium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Verticillium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Sclerotinia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>Fuzarium</w:t>
            </w:r>
            <w:proofErr w:type="spellEnd"/>
            <w:r w:rsidR="006271DF" w:rsidRPr="006271DF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ru-RU"/>
              </w:rPr>
              <w:t xml:space="preserve"> и другие, которые вызывают корневую, стеблевую и плодовую гниль.</w:t>
            </w:r>
          </w:p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Почва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Обработка почвы</w:t>
            </w:r>
          </w:p>
        </w:tc>
        <w:tc>
          <w:tcPr>
            <w:tcW w:w="851" w:type="dxa"/>
            <w:vMerge w:val="restart"/>
            <w:vAlign w:val="center"/>
          </w:tcPr>
          <w:p w:rsidR="00633D51" w:rsidRPr="006271DF" w:rsidRDefault="00633D51" w:rsidP="00DC66D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71DF">
              <w:rPr>
                <w:rFonts w:ascii="Arial" w:hAnsi="Arial" w:cs="Arial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1,0-3,0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750-2250</w:t>
            </w:r>
          </w:p>
        </w:tc>
      </w:tr>
      <w:tr w:rsidR="00633D51" w:rsidRPr="00CD781B" w:rsidTr="00DC66D5">
        <w:trPr>
          <w:trHeight w:val="4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Семена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Предпосевная обработка семян </w:t>
            </w:r>
          </w:p>
        </w:tc>
        <w:tc>
          <w:tcPr>
            <w:tcW w:w="851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0,1-1,0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от 55-550 </w:t>
            </w:r>
          </w:p>
        </w:tc>
      </w:tr>
      <w:tr w:rsidR="00633D51" w:rsidRPr="00CD781B" w:rsidTr="00DC66D5">
        <w:trPr>
          <w:trHeight w:val="424"/>
          <w:jc w:val="right"/>
        </w:trPr>
        <w:tc>
          <w:tcPr>
            <w:tcW w:w="416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D781B">
              <w:rPr>
                <w:rFonts w:ascii="Arial" w:hAnsi="Arial" w:cs="Arial"/>
                <w:b/>
                <w:bCs/>
                <w:sz w:val="14"/>
                <w:szCs w:val="14"/>
              </w:rPr>
              <w:t>Корневые и внекорневые подкормки</w:t>
            </w:r>
          </w:p>
        </w:tc>
        <w:tc>
          <w:tcPr>
            <w:tcW w:w="851" w:type="dxa"/>
            <w:vMerge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3D51" w:rsidRPr="00D80E85" w:rsidRDefault="00633D51" w:rsidP="00DC66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0E85">
              <w:rPr>
                <w:rFonts w:ascii="Arial" w:hAnsi="Arial" w:cs="Arial"/>
                <w:b/>
                <w:bCs/>
                <w:sz w:val="16"/>
                <w:szCs w:val="16"/>
              </w:rPr>
              <w:t>0,1-1,0</w:t>
            </w:r>
          </w:p>
        </w:tc>
        <w:tc>
          <w:tcPr>
            <w:tcW w:w="1422" w:type="dxa"/>
            <w:vAlign w:val="center"/>
          </w:tcPr>
          <w:p w:rsidR="00633D51" w:rsidRPr="00CD781B" w:rsidRDefault="00633D51" w:rsidP="00DC66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D781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65-650</w:t>
            </w:r>
          </w:p>
        </w:tc>
        <w:bookmarkStart w:id="0" w:name="_GoBack"/>
        <w:bookmarkEnd w:id="0"/>
      </w:tr>
    </w:tbl>
    <w:p w:rsidR="00633D51" w:rsidRPr="006271DF" w:rsidRDefault="00633D51" w:rsidP="00633D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t>Примечание.</w:t>
      </w:r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br/>
        <w:t>1.</w:t>
      </w:r>
      <w:r w:rsidR="006271D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t>Цены действительны до публикации новой версии</w:t>
      </w:r>
    </w:p>
    <w:p w:rsidR="00633D51" w:rsidRPr="006271DF" w:rsidRDefault="00633D51" w:rsidP="00633D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="006271D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t>Липосам</w:t>
      </w:r>
      <w:proofErr w:type="spellEnd"/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можно применять при каждом опрыскивании.</w:t>
      </w:r>
    </w:p>
    <w:p w:rsidR="00633D51" w:rsidRPr="006271DF" w:rsidRDefault="00633D51" w:rsidP="00633D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271DF">
        <w:rPr>
          <w:rFonts w:ascii="Arial" w:eastAsia="Times New Roman" w:hAnsi="Arial" w:cs="Arial"/>
          <w:b/>
          <w:sz w:val="20"/>
          <w:szCs w:val="20"/>
          <w:lang w:eastAsia="ru-RU"/>
        </w:rPr>
        <w:t>3. Согласно инструкции к применению, биопрепараты производства компании «БТУ-Центр» можно применять вместе с микроудобрениями и средствами защиты растений.</w:t>
      </w:r>
    </w:p>
    <w:p w:rsidR="00633D51" w:rsidRPr="006271DF" w:rsidRDefault="00633D51" w:rsidP="00633D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33D51" w:rsidRPr="006271DF" w:rsidRDefault="00633D51" w:rsidP="00633D51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p w:rsidR="009C53DB" w:rsidRPr="006271DF" w:rsidRDefault="009C53DB">
      <w:pPr>
        <w:rPr>
          <w:sz w:val="20"/>
          <w:szCs w:val="20"/>
        </w:rPr>
      </w:pPr>
    </w:p>
    <w:p w:rsidR="006271DF" w:rsidRPr="006271DF" w:rsidRDefault="006271DF">
      <w:pPr>
        <w:rPr>
          <w:sz w:val="20"/>
          <w:szCs w:val="20"/>
        </w:rPr>
      </w:pPr>
    </w:p>
    <w:sectPr w:rsidR="006271DF" w:rsidRPr="006271DF" w:rsidSect="00DC66D5">
      <w:headerReference w:type="default" r:id="rId4"/>
      <w:pgSz w:w="11906" w:h="16838"/>
      <w:pgMar w:top="720" w:right="720" w:bottom="568" w:left="720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6D5" w:rsidRDefault="00DC66D5" w:rsidP="00DC66D5">
    <w:pPr>
      <w:pStyle w:val="a3"/>
      <w:ind w:left="-851"/>
      <w:jc w:val="right"/>
    </w:pPr>
    <w:r>
      <w:rPr>
        <w:noProof/>
        <w:lang w:eastAsia="ru-RU"/>
      </w:rPr>
      <w:drawing>
        <wp:inline distT="0" distB="0" distL="0" distR="0" wp14:anchorId="05F5E238" wp14:editId="44F42CB9">
          <wp:extent cx="6482443" cy="143637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блан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420" cy="143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51"/>
    <w:rsid w:val="001E61EC"/>
    <w:rsid w:val="004B3795"/>
    <w:rsid w:val="006271DF"/>
    <w:rsid w:val="00632201"/>
    <w:rsid w:val="00633D51"/>
    <w:rsid w:val="00815B47"/>
    <w:rsid w:val="008E6697"/>
    <w:rsid w:val="009C53DB"/>
    <w:rsid w:val="00C116DA"/>
    <w:rsid w:val="00CD781B"/>
    <w:rsid w:val="00D80E85"/>
    <w:rsid w:val="00D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3BC25-BCDD-47E4-9164-6F160E4C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51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3D51"/>
    <w:rPr>
      <w:rFonts w:eastAsia="SimSun"/>
    </w:rPr>
  </w:style>
  <w:style w:type="table" w:customStyle="1" w:styleId="1">
    <w:name w:val="Сетка таблицы1"/>
    <w:basedOn w:val="a1"/>
    <w:next w:val="a5"/>
    <w:uiPriority w:val="39"/>
    <w:rsid w:val="0063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3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2020-12-10T05:19:00Z</dcterms:created>
  <dcterms:modified xsi:type="dcterms:W3CDTF">2020-12-10T06:23:00Z</dcterms:modified>
</cp:coreProperties>
</file>